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62DCD">
      <w:pPr>
        <w:adjustRightInd/>
        <w:snapToGrid/>
        <w:spacing w:line="360" w:lineRule="auto"/>
        <w:jc w:val="center"/>
        <w:outlineLvl w:val="0"/>
        <w:rPr>
          <w:rFonts w:hint="eastAsia" w:ascii="宋体" w:hAnsi="宋体" w:eastAsia="宋体" w:cs="宋体"/>
          <w:b/>
          <w:bCs/>
          <w:sz w:val="31"/>
          <w:szCs w:val="31"/>
          <w:highlight w:val="none"/>
          <w:lang w:eastAsia="zh-CN"/>
        </w:rPr>
      </w:pPr>
      <w:bookmarkStart w:id="0" w:name="_Toc27555"/>
      <w:r>
        <w:rPr>
          <w:rFonts w:hint="eastAsia" w:ascii="宋体" w:hAnsi="宋体" w:eastAsia="宋体" w:cs="宋体"/>
          <w:b/>
          <w:bCs/>
          <w:sz w:val="31"/>
          <w:szCs w:val="31"/>
          <w:highlight w:val="none"/>
          <w:lang w:eastAsia="zh-CN"/>
        </w:rPr>
        <w:t>第八章 拟签订采购合同文本</w:t>
      </w:r>
      <w:bookmarkEnd w:id="0"/>
    </w:p>
    <w:p w14:paraId="48EEA05F">
      <w:pPr>
        <w:pStyle w:val="2"/>
        <w:spacing w:line="366" w:lineRule="auto"/>
        <w:rPr>
          <w:highlight w:val="none"/>
          <w:lang w:eastAsia="zh-CN"/>
        </w:rPr>
      </w:pPr>
    </w:p>
    <w:p w14:paraId="7ABB62E2">
      <w:pPr>
        <w:spacing w:line="360" w:lineRule="auto"/>
        <w:ind w:firstLine="5054" w:firstLineChars="1900"/>
        <w:rPr>
          <w:rFonts w:hint="eastAsia" w:ascii="宋体" w:hAnsi="宋体" w:eastAsia="宋体" w:cs="宋体"/>
          <w:sz w:val="28"/>
          <w:szCs w:val="28"/>
          <w:highlight w:val="none"/>
          <w:lang w:eastAsia="zh-CN"/>
        </w:rPr>
      </w:pPr>
      <w:r>
        <w:rPr>
          <w:rFonts w:hint="eastAsia" w:ascii="宋体" w:hAnsi="宋体" w:eastAsia="宋体" w:cs="宋体"/>
          <w:spacing w:val="-7"/>
          <w:sz w:val="28"/>
          <w:szCs w:val="28"/>
          <w:highlight w:val="none"/>
          <w:lang w:eastAsia="zh-CN"/>
        </w:rPr>
        <w:t>合同编号：</w:t>
      </w:r>
    </w:p>
    <w:p w14:paraId="55369D41">
      <w:pPr>
        <w:pStyle w:val="2"/>
        <w:spacing w:line="360" w:lineRule="auto"/>
        <w:rPr>
          <w:rFonts w:hint="eastAsia" w:ascii="宋体" w:hAnsi="宋体" w:eastAsia="宋体" w:cs="宋体"/>
          <w:highlight w:val="none"/>
          <w:lang w:eastAsia="zh-CN"/>
        </w:rPr>
      </w:pPr>
    </w:p>
    <w:p w14:paraId="512A0C65">
      <w:pPr>
        <w:pStyle w:val="2"/>
        <w:spacing w:line="360" w:lineRule="auto"/>
        <w:rPr>
          <w:rFonts w:hint="eastAsia" w:ascii="宋体" w:hAnsi="宋体" w:eastAsia="宋体" w:cs="宋体"/>
          <w:highlight w:val="none"/>
          <w:lang w:eastAsia="zh-CN"/>
        </w:rPr>
      </w:pPr>
    </w:p>
    <w:p w14:paraId="36251FE8">
      <w:pPr>
        <w:pStyle w:val="2"/>
        <w:spacing w:line="360" w:lineRule="auto"/>
        <w:rPr>
          <w:rFonts w:hint="eastAsia" w:ascii="宋体" w:hAnsi="宋体" w:eastAsia="宋体" w:cs="宋体"/>
          <w:highlight w:val="none"/>
          <w:lang w:eastAsia="zh-CN"/>
        </w:rPr>
      </w:pPr>
    </w:p>
    <w:p w14:paraId="7A5F66F5">
      <w:pPr>
        <w:shd w:val="clear" w:color="auto" w:fill="auto"/>
        <w:spacing w:line="240" w:lineRule="auto"/>
        <w:jc w:val="center"/>
        <w:rPr>
          <w:rFonts w:hint="eastAsia" w:ascii="宋体" w:hAnsi="宋体" w:eastAsia="宋体" w:cs="宋体"/>
          <w:b/>
          <w:bCs/>
          <w:kern w:val="0"/>
          <w:sz w:val="48"/>
          <w:szCs w:val="20"/>
          <w:highlight w:val="none"/>
          <w:u w:val="none"/>
          <w:lang w:eastAsia="zh-CN"/>
        </w:rPr>
      </w:pPr>
      <w:r>
        <w:rPr>
          <w:rFonts w:hint="eastAsia" w:ascii="宋体" w:hAnsi="宋体" w:eastAsia="宋体" w:cs="宋体"/>
          <w:b/>
          <w:bCs/>
          <w:kern w:val="0"/>
          <w:sz w:val="48"/>
          <w:szCs w:val="20"/>
          <w:highlight w:val="none"/>
          <w:u w:val="none"/>
          <w:lang w:eastAsia="zh-CN"/>
        </w:rPr>
        <w:t>2025年度森林草原湿地荒漠调查监测项目</w:t>
      </w:r>
    </w:p>
    <w:p w14:paraId="199114A0">
      <w:pPr>
        <w:pStyle w:val="2"/>
        <w:spacing w:line="360" w:lineRule="auto"/>
        <w:rPr>
          <w:rFonts w:hint="eastAsia" w:ascii="宋体" w:hAnsi="宋体" w:eastAsia="宋体" w:cs="宋体"/>
          <w:highlight w:val="none"/>
          <w:lang w:eastAsia="zh-CN"/>
        </w:rPr>
      </w:pPr>
    </w:p>
    <w:p w14:paraId="074E558B">
      <w:pPr>
        <w:pStyle w:val="2"/>
        <w:spacing w:line="360" w:lineRule="auto"/>
        <w:rPr>
          <w:rFonts w:hint="eastAsia" w:ascii="宋体" w:hAnsi="宋体" w:eastAsia="宋体" w:cs="宋体"/>
          <w:highlight w:val="none"/>
          <w:lang w:eastAsia="zh-CN"/>
        </w:rPr>
      </w:pPr>
    </w:p>
    <w:p w14:paraId="1D209D77">
      <w:pPr>
        <w:pStyle w:val="2"/>
        <w:spacing w:line="360" w:lineRule="auto"/>
        <w:rPr>
          <w:rFonts w:hint="eastAsia" w:ascii="宋体" w:hAnsi="宋体" w:eastAsia="宋体" w:cs="宋体"/>
          <w:highlight w:val="none"/>
          <w:lang w:eastAsia="zh-CN"/>
        </w:rPr>
      </w:pPr>
    </w:p>
    <w:p w14:paraId="3A9519FC">
      <w:pPr>
        <w:pStyle w:val="2"/>
        <w:spacing w:line="360" w:lineRule="auto"/>
        <w:rPr>
          <w:rFonts w:hint="eastAsia" w:ascii="宋体" w:hAnsi="宋体" w:eastAsia="宋体" w:cs="宋体"/>
          <w:highlight w:val="none"/>
          <w:lang w:eastAsia="zh-CN"/>
        </w:rPr>
      </w:pPr>
    </w:p>
    <w:p w14:paraId="26C424F2">
      <w:pPr>
        <w:pStyle w:val="2"/>
        <w:spacing w:line="360" w:lineRule="auto"/>
        <w:rPr>
          <w:rFonts w:hint="eastAsia" w:ascii="宋体" w:hAnsi="宋体" w:eastAsia="宋体" w:cs="宋体"/>
          <w:highlight w:val="none"/>
          <w:lang w:eastAsia="zh-CN"/>
        </w:rPr>
      </w:pPr>
    </w:p>
    <w:p w14:paraId="2324014E">
      <w:pPr>
        <w:spacing w:line="360" w:lineRule="auto"/>
        <w:jc w:val="center"/>
        <w:outlineLvl w:val="0"/>
        <w:rPr>
          <w:rFonts w:hint="eastAsia" w:ascii="宋体" w:hAnsi="宋体" w:eastAsia="宋体" w:cs="宋体"/>
          <w:sz w:val="44"/>
          <w:szCs w:val="44"/>
          <w:highlight w:val="none"/>
          <w:lang w:eastAsia="zh-CN"/>
        </w:rPr>
      </w:pPr>
      <w:r>
        <w:rPr>
          <w:rFonts w:hint="eastAsia" w:ascii="宋体" w:hAnsi="宋体" w:eastAsia="宋体" w:cs="宋体"/>
          <w:b/>
          <w:bCs/>
          <w:spacing w:val="8"/>
          <w:sz w:val="44"/>
          <w:szCs w:val="44"/>
          <w:highlight w:val="none"/>
          <w:lang w:val="en-US" w:eastAsia="zh-CN"/>
        </w:rPr>
        <w:t>采购</w:t>
      </w:r>
      <w:r>
        <w:rPr>
          <w:rFonts w:hint="eastAsia" w:ascii="宋体" w:hAnsi="宋体" w:eastAsia="宋体" w:cs="宋体"/>
          <w:b/>
          <w:bCs/>
          <w:spacing w:val="8"/>
          <w:sz w:val="44"/>
          <w:szCs w:val="44"/>
          <w:highlight w:val="none"/>
          <w:lang w:eastAsia="zh-CN"/>
        </w:rPr>
        <w:t>合同</w:t>
      </w:r>
    </w:p>
    <w:p w14:paraId="26346EE7">
      <w:pPr>
        <w:pStyle w:val="2"/>
        <w:spacing w:line="360" w:lineRule="auto"/>
        <w:rPr>
          <w:rFonts w:hint="eastAsia" w:ascii="宋体" w:hAnsi="宋体" w:eastAsia="宋体" w:cs="宋体"/>
          <w:highlight w:val="none"/>
          <w:lang w:eastAsia="zh-CN"/>
        </w:rPr>
      </w:pPr>
    </w:p>
    <w:p w14:paraId="04DED018">
      <w:pPr>
        <w:pStyle w:val="2"/>
        <w:spacing w:line="360" w:lineRule="auto"/>
        <w:rPr>
          <w:rFonts w:hint="eastAsia" w:ascii="宋体" w:hAnsi="宋体" w:eastAsia="宋体" w:cs="宋体"/>
          <w:highlight w:val="none"/>
          <w:lang w:eastAsia="zh-CN"/>
        </w:rPr>
      </w:pPr>
    </w:p>
    <w:p w14:paraId="25A209B6">
      <w:pPr>
        <w:pStyle w:val="2"/>
        <w:spacing w:line="360" w:lineRule="auto"/>
        <w:rPr>
          <w:rFonts w:hint="eastAsia" w:ascii="宋体" w:hAnsi="宋体" w:eastAsia="宋体" w:cs="宋体"/>
          <w:highlight w:val="none"/>
          <w:lang w:eastAsia="zh-CN"/>
        </w:rPr>
      </w:pPr>
    </w:p>
    <w:p w14:paraId="1717045E">
      <w:pPr>
        <w:pStyle w:val="2"/>
        <w:spacing w:line="360" w:lineRule="auto"/>
        <w:rPr>
          <w:rFonts w:hint="eastAsia" w:ascii="宋体" w:hAnsi="宋体" w:eastAsia="宋体" w:cs="宋体"/>
          <w:highlight w:val="none"/>
          <w:lang w:eastAsia="zh-CN"/>
        </w:rPr>
      </w:pPr>
    </w:p>
    <w:p w14:paraId="4CE3B947">
      <w:pPr>
        <w:pStyle w:val="2"/>
        <w:spacing w:line="360" w:lineRule="auto"/>
        <w:rPr>
          <w:rFonts w:hint="eastAsia" w:ascii="宋体" w:hAnsi="宋体" w:eastAsia="宋体" w:cs="宋体"/>
          <w:highlight w:val="none"/>
          <w:lang w:eastAsia="zh-CN"/>
        </w:rPr>
      </w:pPr>
    </w:p>
    <w:p w14:paraId="34DE7A02">
      <w:pPr>
        <w:pStyle w:val="2"/>
        <w:spacing w:line="360" w:lineRule="auto"/>
        <w:rPr>
          <w:rFonts w:hint="eastAsia" w:ascii="宋体" w:hAnsi="宋体" w:eastAsia="宋体" w:cs="宋体"/>
          <w:highlight w:val="none"/>
          <w:lang w:eastAsia="zh-CN"/>
        </w:rPr>
      </w:pPr>
    </w:p>
    <w:p w14:paraId="04FB8A54">
      <w:pPr>
        <w:pStyle w:val="2"/>
        <w:spacing w:line="360" w:lineRule="auto"/>
        <w:rPr>
          <w:rFonts w:hint="eastAsia" w:ascii="宋体" w:hAnsi="宋体" w:eastAsia="宋体" w:cs="宋体"/>
          <w:highlight w:val="none"/>
          <w:lang w:eastAsia="zh-CN"/>
        </w:rPr>
      </w:pPr>
    </w:p>
    <w:p w14:paraId="1D70ABED">
      <w:pPr>
        <w:spacing w:line="360" w:lineRule="auto"/>
        <w:ind w:left="760"/>
        <w:jc w:val="center"/>
        <w:rPr>
          <w:rFonts w:hint="eastAsia" w:ascii="宋体" w:hAnsi="宋体" w:eastAsia="宋体" w:cs="宋体"/>
          <w:sz w:val="28"/>
          <w:szCs w:val="28"/>
          <w:highlight w:val="none"/>
          <w:lang w:eastAsia="zh-CN"/>
        </w:rPr>
      </w:pPr>
      <w:r>
        <w:rPr>
          <w:rFonts w:hint="eastAsia" w:ascii="宋体" w:hAnsi="宋体" w:eastAsia="宋体" w:cs="宋体"/>
          <w:spacing w:val="-4"/>
          <w:sz w:val="28"/>
          <w:szCs w:val="28"/>
          <w:highlight w:val="none"/>
          <w:lang w:val="en-US" w:eastAsia="zh-CN"/>
        </w:rPr>
        <w:t xml:space="preserve">  </w:t>
      </w:r>
      <w:r>
        <w:rPr>
          <w:rFonts w:hint="eastAsia" w:ascii="宋体" w:hAnsi="宋体" w:eastAsia="宋体" w:cs="宋体"/>
          <w:spacing w:val="-4"/>
          <w:sz w:val="28"/>
          <w:szCs w:val="28"/>
          <w:highlight w:val="none"/>
          <w:lang w:eastAsia="zh-CN"/>
        </w:rPr>
        <w:t>甲方：西安市秦岭生态环境保护管理局</w:t>
      </w:r>
    </w:p>
    <w:p w14:paraId="2839A337">
      <w:pPr>
        <w:spacing w:line="360" w:lineRule="auto"/>
        <w:ind w:firstLine="3014" w:firstLineChars="1100"/>
        <w:jc w:val="both"/>
        <w:rPr>
          <w:rFonts w:hint="eastAsia" w:ascii="宋体" w:hAnsi="宋体" w:eastAsia="宋体" w:cs="宋体"/>
          <w:sz w:val="28"/>
          <w:szCs w:val="28"/>
          <w:highlight w:val="none"/>
          <w:u w:val="single"/>
          <w:lang w:val="en-US" w:eastAsia="zh-CN"/>
        </w:rPr>
      </w:pPr>
      <w:r>
        <w:rPr>
          <w:rFonts w:hint="eastAsia" w:ascii="宋体" w:hAnsi="宋体" w:eastAsia="宋体" w:cs="宋体"/>
          <w:spacing w:val="-3"/>
          <w:sz w:val="28"/>
          <w:szCs w:val="28"/>
          <w:highlight w:val="none"/>
          <w:lang w:eastAsia="zh-CN"/>
        </w:rPr>
        <w:t>乙方：</w:t>
      </w:r>
      <w:r>
        <w:rPr>
          <w:rFonts w:hint="eastAsia" w:ascii="宋体" w:hAnsi="宋体" w:eastAsia="宋体" w:cs="宋体"/>
          <w:spacing w:val="-3"/>
          <w:sz w:val="28"/>
          <w:szCs w:val="28"/>
          <w:highlight w:val="none"/>
          <w:u w:val="single"/>
          <w:lang w:val="en-US" w:eastAsia="zh-CN"/>
        </w:rPr>
        <w:t xml:space="preserve">                </w:t>
      </w:r>
    </w:p>
    <w:p w14:paraId="50A781BF">
      <w:pPr>
        <w:pStyle w:val="2"/>
        <w:spacing w:line="360" w:lineRule="auto"/>
        <w:rPr>
          <w:rFonts w:hint="eastAsia" w:ascii="宋体" w:hAnsi="宋体" w:eastAsia="宋体" w:cs="宋体"/>
          <w:highlight w:val="none"/>
          <w:lang w:eastAsia="zh-CN"/>
        </w:rPr>
      </w:pPr>
    </w:p>
    <w:p w14:paraId="60C0EAB3">
      <w:pPr>
        <w:pStyle w:val="2"/>
        <w:spacing w:line="360" w:lineRule="auto"/>
        <w:rPr>
          <w:rFonts w:hint="eastAsia" w:ascii="宋体" w:hAnsi="宋体" w:eastAsia="宋体" w:cs="宋体"/>
          <w:highlight w:val="none"/>
          <w:lang w:eastAsia="zh-CN"/>
        </w:rPr>
      </w:pPr>
    </w:p>
    <w:p w14:paraId="38E4D0C5">
      <w:pPr>
        <w:pStyle w:val="2"/>
        <w:spacing w:line="360" w:lineRule="auto"/>
        <w:rPr>
          <w:rFonts w:hint="eastAsia" w:ascii="宋体" w:hAnsi="宋体" w:eastAsia="宋体" w:cs="宋体"/>
          <w:highlight w:val="none"/>
          <w:lang w:eastAsia="zh-CN"/>
        </w:rPr>
      </w:pPr>
    </w:p>
    <w:p w14:paraId="7673B778">
      <w:pPr>
        <w:pStyle w:val="2"/>
        <w:spacing w:line="360" w:lineRule="auto"/>
        <w:rPr>
          <w:rFonts w:hint="eastAsia" w:ascii="宋体" w:hAnsi="宋体" w:eastAsia="宋体" w:cs="宋体"/>
          <w:highlight w:val="none"/>
          <w:lang w:eastAsia="zh-CN"/>
        </w:rPr>
      </w:pPr>
    </w:p>
    <w:p w14:paraId="061906DD">
      <w:pPr>
        <w:pStyle w:val="2"/>
        <w:spacing w:line="360" w:lineRule="auto"/>
        <w:rPr>
          <w:rFonts w:hint="eastAsia" w:ascii="宋体" w:hAnsi="宋体" w:eastAsia="宋体" w:cs="宋体"/>
          <w:highlight w:val="none"/>
          <w:lang w:eastAsia="zh-CN"/>
        </w:rPr>
      </w:pPr>
    </w:p>
    <w:p w14:paraId="779CE015">
      <w:pPr>
        <w:pStyle w:val="2"/>
        <w:spacing w:line="360" w:lineRule="auto"/>
        <w:rPr>
          <w:rFonts w:hint="eastAsia" w:ascii="宋体" w:hAnsi="宋体" w:eastAsia="宋体" w:cs="宋体"/>
          <w:highlight w:val="none"/>
          <w:lang w:eastAsia="zh-CN"/>
        </w:rPr>
      </w:pPr>
    </w:p>
    <w:p w14:paraId="07C20ED2">
      <w:pPr>
        <w:spacing w:line="360" w:lineRule="auto"/>
        <w:ind w:left="1000"/>
        <w:jc w:val="center"/>
        <w:rPr>
          <w:rFonts w:hint="eastAsia" w:ascii="宋体" w:hAnsi="宋体" w:eastAsia="宋体" w:cs="宋体"/>
          <w:sz w:val="23"/>
          <w:szCs w:val="23"/>
          <w:highlight w:val="none"/>
          <w:lang w:eastAsia="zh-CN"/>
        </w:rPr>
      </w:pPr>
      <w:r>
        <w:rPr>
          <w:rFonts w:hint="eastAsia" w:ascii="宋体" w:hAnsi="宋体" w:eastAsia="宋体" w:cs="宋体"/>
          <w:spacing w:val="-17"/>
          <w:sz w:val="24"/>
          <w:szCs w:val="24"/>
          <w:highlight w:val="none"/>
          <w:lang w:eastAsia="zh-CN"/>
        </w:rPr>
        <w:t>签订日期：      年</w:t>
      </w:r>
      <w:r>
        <w:rPr>
          <w:rFonts w:hint="eastAsia" w:ascii="宋体" w:hAnsi="宋体" w:eastAsia="宋体" w:cs="宋体"/>
          <w:spacing w:val="15"/>
          <w:sz w:val="24"/>
          <w:szCs w:val="24"/>
          <w:highlight w:val="none"/>
          <w:lang w:eastAsia="zh-CN"/>
        </w:rPr>
        <w:t xml:space="preserve">    </w:t>
      </w:r>
      <w:r>
        <w:rPr>
          <w:rFonts w:hint="eastAsia" w:ascii="宋体" w:hAnsi="宋体" w:eastAsia="宋体" w:cs="宋体"/>
          <w:spacing w:val="-17"/>
          <w:sz w:val="24"/>
          <w:szCs w:val="24"/>
          <w:highlight w:val="none"/>
          <w:lang w:eastAsia="zh-CN"/>
        </w:rPr>
        <w:t>月</w:t>
      </w:r>
      <w:r>
        <w:rPr>
          <w:rFonts w:hint="eastAsia" w:ascii="宋体" w:hAnsi="宋体" w:eastAsia="宋体" w:cs="宋体"/>
          <w:spacing w:val="14"/>
          <w:sz w:val="24"/>
          <w:szCs w:val="24"/>
          <w:highlight w:val="none"/>
          <w:lang w:eastAsia="zh-CN"/>
        </w:rPr>
        <w:t xml:space="preserve">    </w:t>
      </w:r>
      <w:r>
        <w:rPr>
          <w:rFonts w:hint="eastAsia" w:ascii="宋体" w:hAnsi="宋体" w:eastAsia="宋体" w:cs="宋体"/>
          <w:spacing w:val="-17"/>
          <w:sz w:val="24"/>
          <w:szCs w:val="24"/>
          <w:highlight w:val="none"/>
          <w:lang w:eastAsia="zh-CN"/>
        </w:rPr>
        <w:t>日</w:t>
      </w:r>
    </w:p>
    <w:p w14:paraId="122353B4">
      <w:p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br w:type="page"/>
      </w:r>
    </w:p>
    <w:p w14:paraId="357AFE7F">
      <w:pPr>
        <w:spacing w:line="360" w:lineRule="auto"/>
        <w:jc w:val="left"/>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采购人（甲方）：</w:t>
      </w:r>
      <w:r>
        <w:rPr>
          <w:rFonts w:hint="eastAsia" w:ascii="宋体" w:hAnsi="宋体" w:eastAsia="宋体" w:cs="宋体"/>
          <w:b/>
          <w:sz w:val="28"/>
          <w:szCs w:val="28"/>
          <w:highlight w:val="none"/>
          <w:u w:val="single"/>
        </w:rPr>
        <w:t xml:space="preserve">                   </w:t>
      </w:r>
    </w:p>
    <w:p w14:paraId="510C9501">
      <w:pPr>
        <w:spacing w:line="360" w:lineRule="auto"/>
        <w:jc w:val="left"/>
        <w:rPr>
          <w:rFonts w:hint="eastAsia" w:ascii="宋体" w:hAnsi="宋体" w:eastAsia="宋体" w:cs="宋体"/>
          <w:sz w:val="28"/>
          <w:szCs w:val="28"/>
          <w:highlight w:val="none"/>
        </w:rPr>
      </w:pPr>
      <w:r>
        <w:rPr>
          <w:rFonts w:hint="eastAsia" w:ascii="宋体" w:hAnsi="宋体" w:eastAsia="宋体" w:cs="宋体"/>
          <w:b/>
          <w:sz w:val="28"/>
          <w:szCs w:val="28"/>
          <w:highlight w:val="none"/>
        </w:rPr>
        <w:t>供应商（乙方）：</w:t>
      </w:r>
      <w:r>
        <w:rPr>
          <w:rFonts w:hint="eastAsia" w:ascii="宋体" w:hAnsi="宋体" w:eastAsia="宋体" w:cs="宋体"/>
          <w:b/>
          <w:sz w:val="28"/>
          <w:szCs w:val="28"/>
          <w:highlight w:val="none"/>
          <w:u w:val="single"/>
        </w:rPr>
        <w:t xml:space="preserve">                   </w:t>
      </w:r>
    </w:p>
    <w:p w14:paraId="44D8F0E9">
      <w:pPr>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根据《中华人民共和国民法典》、《中华人民共和国政府采购法》与项目行业有关的法律法规，以及本项目</w:t>
      </w:r>
      <w:r>
        <w:rPr>
          <w:rFonts w:hint="eastAsia" w:ascii="宋体" w:hAnsi="宋体" w:eastAsia="宋体" w:cs="宋体"/>
          <w:sz w:val="28"/>
          <w:szCs w:val="28"/>
          <w:highlight w:val="none"/>
          <w:u w:val="single"/>
        </w:rPr>
        <w:t>2025年度森林草原湿地荒漠调查监测项目（项目编号：HSGJ2025-238）</w:t>
      </w:r>
      <w:r>
        <w:rPr>
          <w:rFonts w:hint="eastAsia" w:ascii="宋体" w:hAnsi="宋体" w:eastAsia="宋体" w:cs="宋体"/>
          <w:sz w:val="28"/>
          <w:szCs w:val="28"/>
          <w:highlight w:val="none"/>
        </w:rPr>
        <w:t>相关采购要求的规定，合同双方就乙方向采购方提供</w:t>
      </w:r>
      <w:r>
        <w:rPr>
          <w:rFonts w:hint="eastAsia" w:ascii="宋体" w:hAnsi="宋体" w:eastAsia="宋体" w:cs="宋体"/>
          <w:sz w:val="28"/>
          <w:szCs w:val="28"/>
          <w:highlight w:val="none"/>
          <w:u w:val="single"/>
        </w:rPr>
        <w:t>2025年度森林草原湿地荒漠调查监测项目</w:t>
      </w:r>
      <w:r>
        <w:rPr>
          <w:rFonts w:hint="eastAsia" w:ascii="宋体" w:hAnsi="宋体" w:eastAsia="宋体" w:cs="宋体"/>
          <w:sz w:val="28"/>
          <w:szCs w:val="28"/>
          <w:highlight w:val="none"/>
        </w:rPr>
        <w:t>事宜，经协商达成一致，确立本合同。</w:t>
      </w:r>
    </w:p>
    <w:p w14:paraId="2D9B2853">
      <w:pPr>
        <w:pStyle w:val="9"/>
        <w:spacing w:line="360" w:lineRule="auto"/>
        <w:ind w:left="0" w:leftChars="0"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第一条：合同标的及付款方式</w:t>
      </w:r>
    </w:p>
    <w:p w14:paraId="745994AC">
      <w:pPr>
        <w:spacing w:line="360" w:lineRule="auto"/>
        <w:ind w:firstLine="560" w:firstLineChars="200"/>
        <w:rPr>
          <w:rFonts w:hint="eastAsia" w:ascii="宋体" w:hAnsi="宋体" w:eastAsia="宋体" w:cs="宋体"/>
          <w:sz w:val="28"/>
          <w:szCs w:val="28"/>
          <w:highlight w:val="none"/>
          <w:u w:val="single"/>
          <w:lang w:eastAsia="zh-CN"/>
        </w:rPr>
      </w:pPr>
      <w:r>
        <w:rPr>
          <w:rFonts w:hint="eastAsia" w:ascii="宋体" w:hAnsi="宋体" w:eastAsia="宋体" w:cs="宋体"/>
          <w:sz w:val="28"/>
          <w:szCs w:val="28"/>
          <w:highlight w:val="none"/>
        </w:rPr>
        <w:t>1、合同标的及标的物</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u w:val="single"/>
        </w:rPr>
        <w:t>2025年度森林草原湿地荒漠调查监测项目</w:t>
      </w:r>
    </w:p>
    <w:p w14:paraId="70437AB7">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2、合同总价：</w:t>
      </w:r>
    </w:p>
    <w:p w14:paraId="6FD25CC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（1）合同中标总价款为人民币</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.00）。</w:t>
      </w:r>
    </w:p>
    <w:p w14:paraId="0BE91A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（2）合同总价包括：包括税费、人工费、</w:t>
      </w:r>
      <w:r>
        <w:rPr>
          <w:rFonts w:hint="eastAsia" w:ascii="宋体" w:hAnsi="宋体" w:eastAsia="宋体" w:cs="宋体"/>
          <w:sz w:val="28"/>
          <w:szCs w:val="28"/>
          <w:highlight w:val="none"/>
          <w:lang w:val="en-US" w:eastAsia="zh-CN"/>
        </w:rPr>
        <w:t>成果费</w:t>
      </w:r>
      <w:r>
        <w:rPr>
          <w:rFonts w:hint="eastAsia" w:ascii="宋体" w:hAnsi="宋体" w:eastAsia="宋体" w:cs="宋体"/>
          <w:sz w:val="28"/>
          <w:szCs w:val="28"/>
          <w:highlight w:val="none"/>
        </w:rPr>
        <w:t>、管理费、及其它相关的</w:t>
      </w:r>
      <w:r>
        <w:rPr>
          <w:rFonts w:hint="eastAsia" w:ascii="宋体" w:hAnsi="宋体" w:eastAsia="宋体" w:cs="宋体"/>
          <w:sz w:val="28"/>
          <w:szCs w:val="28"/>
          <w:highlight w:val="none"/>
          <w:lang w:eastAsia="zh-CN"/>
        </w:rPr>
        <w:t>全部</w:t>
      </w:r>
      <w:r>
        <w:rPr>
          <w:rFonts w:hint="eastAsia" w:ascii="宋体" w:hAnsi="宋体" w:eastAsia="宋体" w:cs="宋体"/>
          <w:sz w:val="28"/>
          <w:szCs w:val="28"/>
          <w:highlight w:val="none"/>
        </w:rPr>
        <w:t>费用。</w:t>
      </w:r>
    </w:p>
    <w:p w14:paraId="3D2788B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（3）合同</w:t>
      </w:r>
      <w:r>
        <w:rPr>
          <w:rFonts w:hint="eastAsia" w:ascii="宋体" w:hAnsi="宋体" w:eastAsia="宋体" w:cs="宋体"/>
          <w:sz w:val="28"/>
          <w:szCs w:val="28"/>
          <w:highlight w:val="none"/>
          <w:lang w:val="en-US" w:eastAsia="zh-CN"/>
        </w:rPr>
        <w:t>总价</w:t>
      </w:r>
      <w:r>
        <w:rPr>
          <w:rFonts w:hint="eastAsia" w:ascii="宋体" w:hAnsi="宋体" w:eastAsia="宋体" w:cs="宋体"/>
          <w:sz w:val="28"/>
          <w:szCs w:val="28"/>
          <w:highlight w:val="none"/>
        </w:rPr>
        <w:t>一次性包死，不受市场价变化的影响。</w:t>
      </w:r>
    </w:p>
    <w:p w14:paraId="619918EB">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3、结算方式</w:t>
      </w:r>
    </w:p>
    <w:p w14:paraId="70C3524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lang w:eastAsia="zh-CN"/>
        </w:rPr>
        <w:t>）一次性付款，合同签订后10日内支付合同总价款</w:t>
      </w:r>
      <w:r>
        <w:rPr>
          <w:rFonts w:hint="eastAsia" w:ascii="宋体" w:hAnsi="宋体" w:eastAsia="宋体" w:cs="宋体"/>
          <w:sz w:val="28"/>
          <w:szCs w:val="28"/>
          <w:highlight w:val="none"/>
        </w:rPr>
        <w:t>。</w:t>
      </w:r>
    </w:p>
    <w:p w14:paraId="3FC474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结算单位；由甲方负责结算，乙方根据合同条款按甲方要求开具发</w:t>
      </w:r>
      <w:r>
        <w:rPr>
          <w:rFonts w:hint="eastAsia" w:ascii="宋体" w:hAnsi="宋体" w:eastAsia="宋体" w:cs="宋体"/>
          <w:sz w:val="28"/>
          <w:szCs w:val="28"/>
          <w:highlight w:val="none"/>
          <w:lang w:val="en-US" w:eastAsia="zh-CN"/>
        </w:rPr>
        <w:t>票。</w:t>
      </w:r>
    </w:p>
    <w:p w14:paraId="0DD3CC56">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、支付方式；银行转账。</w:t>
      </w:r>
    </w:p>
    <w:p w14:paraId="7F23FAAB">
      <w:pPr>
        <w:tabs>
          <w:tab w:val="left" w:pos="6276"/>
        </w:tabs>
        <w:spacing w:line="360" w:lineRule="auto"/>
        <w:ind w:firstLine="420"/>
        <w:rPr>
          <w:rFonts w:hint="eastAsia" w:ascii="宋体" w:hAnsi="宋体" w:eastAsia="宋体" w:cs="宋体"/>
          <w:b/>
          <w:sz w:val="28"/>
          <w:szCs w:val="28"/>
          <w:highlight w:val="none"/>
        </w:rPr>
      </w:pPr>
      <w:r>
        <w:rPr>
          <w:rFonts w:hint="eastAsia" w:ascii="宋体" w:hAnsi="宋体" w:eastAsia="宋体" w:cs="宋体"/>
          <w:b/>
          <w:sz w:val="28"/>
          <w:szCs w:val="28"/>
          <w:highlight w:val="none"/>
        </w:rPr>
        <w:t>第二条：项目服务期</w:t>
      </w:r>
    </w:p>
    <w:p w14:paraId="60CDF278">
      <w:pPr>
        <w:spacing w:line="360" w:lineRule="auto"/>
        <w:ind w:firstLine="420"/>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自合同签订之日起至成果通过国家林草局、省林业局核查。</w:t>
      </w:r>
    </w:p>
    <w:p w14:paraId="51DE5A38">
      <w:pPr>
        <w:spacing w:line="360" w:lineRule="auto"/>
        <w:ind w:firstLine="420"/>
        <w:rPr>
          <w:rFonts w:hint="eastAsia" w:ascii="宋体" w:hAnsi="宋体" w:eastAsia="宋体" w:cs="宋体"/>
          <w:b/>
          <w:sz w:val="28"/>
          <w:szCs w:val="28"/>
          <w:highlight w:val="none"/>
        </w:rPr>
      </w:pPr>
      <w:r>
        <w:rPr>
          <w:rFonts w:hint="eastAsia" w:ascii="宋体" w:hAnsi="宋体" w:eastAsia="宋体" w:cs="宋体"/>
          <w:b/>
          <w:sz w:val="28"/>
          <w:szCs w:val="28"/>
          <w:highlight w:val="none"/>
        </w:rPr>
        <w:t>第三条：服务内容及标准</w:t>
      </w:r>
    </w:p>
    <w:p w14:paraId="154A7210">
      <w:pPr>
        <w:spacing w:line="360" w:lineRule="auto"/>
        <w:ind w:firstLine="420"/>
        <w:rPr>
          <w:rFonts w:hint="eastAsia" w:ascii="宋体" w:hAnsi="宋体" w:eastAsia="宋体" w:cs="宋体"/>
          <w:sz w:val="28"/>
          <w:szCs w:val="28"/>
          <w:highlight w:val="none"/>
        </w:rPr>
      </w:pPr>
      <w:r>
        <w:rPr>
          <w:rFonts w:hint="eastAsia" w:ascii="宋体" w:hAnsi="宋体" w:eastAsia="宋体" w:cs="宋体"/>
          <w:sz w:val="28"/>
          <w:szCs w:val="28"/>
          <w:highlight w:val="none"/>
        </w:rPr>
        <w:t>具体内容以竞争性磋商文件“第三部分磋商要求及说明”以及成交供应商“竞争性磋商响应文件”为准。</w:t>
      </w:r>
    </w:p>
    <w:p w14:paraId="71049012">
      <w:pPr>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color w:val="000000"/>
          <w:sz w:val="28"/>
          <w:szCs w:val="28"/>
          <w:highlight w:val="none"/>
        </w:rPr>
        <w:t>第四条：</w:t>
      </w:r>
      <w:r>
        <w:rPr>
          <w:rFonts w:hint="eastAsia" w:ascii="宋体" w:hAnsi="宋体" w:eastAsia="宋体" w:cs="宋体"/>
          <w:b/>
          <w:sz w:val="28"/>
          <w:szCs w:val="28"/>
          <w:highlight w:val="none"/>
        </w:rPr>
        <w:t>合同期限</w:t>
      </w:r>
    </w:p>
    <w:p w14:paraId="12C47B73">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1、本合同自双方代表签字、盖章之日起生效。合同期限为自合同签订生效之日起至本项目结束止。</w:t>
      </w:r>
    </w:p>
    <w:p w14:paraId="61DC0D4C">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2、本合同到期后，如仍然存在甲乙双方未履行完毕的各项义务，则该义务继续履行；未行使完毕的各项权利，由权利方继续行使。</w:t>
      </w:r>
    </w:p>
    <w:p w14:paraId="0932FA83">
      <w:pPr>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color w:val="000000"/>
          <w:sz w:val="28"/>
          <w:szCs w:val="28"/>
          <w:highlight w:val="none"/>
        </w:rPr>
        <w:t>第五条：双方的权利义务</w:t>
      </w:r>
    </w:p>
    <w:p w14:paraId="399E444F">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（一）采购人的权利和义务</w:t>
      </w:r>
    </w:p>
    <w:p w14:paraId="13AC5092">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1、为了保证采购人项目安全和保密要求，在项目服务期间，</w:t>
      </w:r>
      <w:r>
        <w:rPr>
          <w:rFonts w:hint="eastAsia" w:ascii="宋体" w:hAnsi="宋体" w:eastAsia="宋体" w:cs="宋体"/>
          <w:sz w:val="28"/>
          <w:szCs w:val="28"/>
          <w:highlight w:val="none"/>
          <w:lang w:eastAsia="zh-CN"/>
        </w:rPr>
        <w:t>必须遵守采购人相关的规定和要求</w:t>
      </w:r>
      <w:r>
        <w:rPr>
          <w:rFonts w:hint="eastAsia" w:ascii="宋体" w:hAnsi="宋体" w:eastAsia="宋体" w:cs="宋体"/>
          <w:sz w:val="28"/>
          <w:szCs w:val="28"/>
          <w:highlight w:val="none"/>
        </w:rPr>
        <w:t>。</w:t>
      </w:r>
    </w:p>
    <w:p w14:paraId="0D3EAB33">
      <w:pPr>
        <w:widowControl/>
        <w:spacing w:line="360" w:lineRule="auto"/>
        <w:ind w:firstLine="560" w:firstLineChars="200"/>
        <w:jc w:val="lef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、采购人有权对供应商派出人员的工作态度、技术水平进行监督和评判并提出相应的要求</w:t>
      </w:r>
      <w:r>
        <w:rPr>
          <w:rFonts w:hint="eastAsia" w:ascii="宋体" w:hAnsi="宋体" w:eastAsia="宋体" w:cs="宋体"/>
          <w:sz w:val="28"/>
          <w:szCs w:val="28"/>
          <w:highlight w:val="none"/>
          <w:lang w:eastAsia="zh-CN"/>
        </w:rPr>
        <w:t>。</w:t>
      </w:r>
    </w:p>
    <w:p w14:paraId="7C0346AF">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（二）供应商的权利和义务</w:t>
      </w:r>
    </w:p>
    <w:p w14:paraId="0127A024">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1、供应商确保本项目的完成质量，全面满足磋商文件要求。</w:t>
      </w:r>
    </w:p>
    <w:p w14:paraId="46C2C8EB">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2、供应商保证严格按照采购人</w:t>
      </w:r>
      <w:r>
        <w:rPr>
          <w:rFonts w:hint="eastAsia" w:ascii="宋体" w:hAnsi="宋体" w:eastAsia="宋体" w:cs="宋体"/>
          <w:sz w:val="28"/>
          <w:szCs w:val="28"/>
          <w:highlight w:val="none"/>
          <w:lang w:eastAsia="zh-CN"/>
        </w:rPr>
        <w:t>的</w:t>
      </w:r>
      <w:r>
        <w:rPr>
          <w:rFonts w:hint="eastAsia" w:ascii="宋体" w:hAnsi="宋体" w:eastAsia="宋体" w:cs="宋体"/>
          <w:sz w:val="28"/>
          <w:szCs w:val="28"/>
          <w:highlight w:val="none"/>
        </w:rPr>
        <w:t>管理要求和工作纪律行事。</w:t>
      </w:r>
    </w:p>
    <w:p w14:paraId="1FF622F3">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3、供应商提供完成项目期间，应当保证采购人数据的安全，并对采购人的所有相关数据及信息进行保密，不得外泄。</w:t>
      </w:r>
    </w:p>
    <w:p w14:paraId="2FFB47EB">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lang w:eastAsia="zh-CN"/>
        </w:rPr>
        <w:t>供应商</w:t>
      </w:r>
      <w:r>
        <w:rPr>
          <w:rFonts w:hint="eastAsia" w:ascii="宋体" w:hAnsi="宋体" w:eastAsia="宋体" w:cs="宋体"/>
          <w:sz w:val="28"/>
          <w:szCs w:val="28"/>
          <w:highlight w:val="none"/>
        </w:rPr>
        <w:t>应确保此次服务</w:t>
      </w:r>
      <w:r>
        <w:rPr>
          <w:rFonts w:hint="eastAsia" w:ascii="宋体" w:hAnsi="宋体" w:eastAsia="宋体" w:cs="宋体"/>
          <w:sz w:val="28"/>
          <w:szCs w:val="28"/>
          <w:highlight w:val="none"/>
          <w:lang w:eastAsia="zh-CN"/>
        </w:rPr>
        <w:t>项目</w:t>
      </w:r>
      <w:r>
        <w:rPr>
          <w:rFonts w:hint="eastAsia" w:ascii="宋体" w:hAnsi="宋体" w:eastAsia="宋体" w:cs="宋体"/>
          <w:sz w:val="28"/>
          <w:szCs w:val="28"/>
          <w:highlight w:val="none"/>
        </w:rPr>
        <w:t>，不侵犯其他任何第三人知识产权等权利，并承担由此产生的一切责任。</w:t>
      </w:r>
    </w:p>
    <w:p w14:paraId="1DED30EB">
      <w:pPr>
        <w:widowControl/>
        <w:spacing w:line="360" w:lineRule="auto"/>
        <w:ind w:firstLine="560" w:firstLineChars="20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5、项目产生的数据成果、分析模型、技术文档等知识产权归采购人所有，供应商不得将相关成果用于其他商业用途。</w:t>
      </w:r>
    </w:p>
    <w:p w14:paraId="5184993E">
      <w:pPr>
        <w:widowControl/>
        <w:spacing w:line="360" w:lineRule="auto"/>
        <w:ind w:firstLine="562" w:firstLineChars="200"/>
        <w:jc w:val="left"/>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第六条：服务质量保证</w:t>
      </w:r>
    </w:p>
    <w:p w14:paraId="57E59F0F">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1.服务质量保证内容包括整个项目。</w:t>
      </w:r>
    </w:p>
    <w:p w14:paraId="55A24934">
      <w:pPr>
        <w:spacing w:line="360" w:lineRule="auto"/>
        <w:ind w:firstLine="562" w:firstLineChars="200"/>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第七条：验收</w:t>
      </w:r>
    </w:p>
    <w:p w14:paraId="18F65537">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1、完成合同约定的工作后，按照成交供应商所提供的资料进行验收；</w:t>
      </w:r>
    </w:p>
    <w:p w14:paraId="6D49570E">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2、最终验收：自合同签订之日起至完成全部项目内容，需按照采购人确定的时间完成交付并验收合格，验收合格后，填写验收单。</w:t>
      </w:r>
    </w:p>
    <w:p w14:paraId="4F5EB2A6">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验收依据：</w:t>
      </w:r>
    </w:p>
    <w:p w14:paraId="67101080">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lang w:val="en-US" w:eastAsia="zh-CN"/>
        </w:rPr>
        <w:t>1</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合同文本。</w:t>
      </w:r>
    </w:p>
    <w:p w14:paraId="0E8BAA72">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lang w:val="en-US" w:eastAsia="zh-CN"/>
        </w:rPr>
        <w:t>2</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磋商响应文件、磋商文件、澄清函。</w:t>
      </w:r>
    </w:p>
    <w:p w14:paraId="3D752E7E">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lang w:val="en-US" w:eastAsia="zh-CN"/>
        </w:rPr>
        <w:t>3</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国家和行业制定的相应的标准和规范。</w:t>
      </w:r>
    </w:p>
    <w:p w14:paraId="05E1054B">
      <w:pPr>
        <w:widowControl/>
        <w:spacing w:line="360" w:lineRule="auto"/>
        <w:ind w:firstLine="560" w:firstLineChars="200"/>
        <w:jc w:val="left"/>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4.验收和评价方式</w:t>
      </w:r>
    </w:p>
    <w:p w14:paraId="242329DB">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45ACECB0">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val="en-US" w:eastAsia="zh-CN"/>
        </w:rPr>
        <w:t>5.</w:t>
      </w:r>
      <w:r>
        <w:rPr>
          <w:rFonts w:hint="eastAsia" w:ascii="宋体" w:hAnsi="宋体" w:eastAsia="宋体" w:cs="宋体"/>
          <w:b w:val="0"/>
          <w:bCs w:val="0"/>
          <w:sz w:val="28"/>
          <w:szCs w:val="28"/>
          <w:highlight w:val="none"/>
        </w:rPr>
        <w:t>若发现乙方有弄虚作假的，及在项目实施阶段故意或随意夸大服务，本项目合同解除，乙方赔偿甲方相应的损失。</w:t>
      </w:r>
    </w:p>
    <w:p w14:paraId="05426217">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val="en-US" w:eastAsia="zh-CN"/>
        </w:rPr>
        <w:t>6.</w:t>
      </w:r>
      <w:r>
        <w:rPr>
          <w:rFonts w:hint="eastAsia" w:ascii="宋体" w:hAnsi="宋体" w:eastAsia="宋体" w:cs="宋体"/>
          <w:b w:val="0"/>
          <w:bCs w:val="0"/>
          <w:sz w:val="28"/>
          <w:szCs w:val="28"/>
          <w:highlight w:val="none"/>
        </w:rPr>
        <w:t xml:space="preserve"> 验收标准：按磋商文件、磋商响应文件等服务指标进行逐项验收，各项指标均应符合验收标准及要求。</w:t>
      </w:r>
    </w:p>
    <w:p w14:paraId="18039F8A">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val="en-US" w:eastAsia="zh-CN"/>
        </w:rPr>
        <w:t>7.</w:t>
      </w:r>
      <w:r>
        <w:rPr>
          <w:rFonts w:hint="eastAsia" w:ascii="宋体" w:hAnsi="宋体" w:eastAsia="宋体" w:cs="宋体"/>
          <w:b w:val="0"/>
          <w:bCs w:val="0"/>
          <w:sz w:val="28"/>
          <w:szCs w:val="28"/>
          <w:highlight w:val="none"/>
        </w:rPr>
        <w:t xml:space="preserve"> 验收合格后，填写验收单，双方盖章、签字生效。</w:t>
      </w:r>
    </w:p>
    <w:p w14:paraId="5F523CE3">
      <w:pPr>
        <w:widowControl/>
        <w:spacing w:line="360" w:lineRule="auto"/>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第八条：违约责任</w:t>
      </w:r>
    </w:p>
    <w:p w14:paraId="03E164AD">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1、按《民法典》中的相关条款执行。</w:t>
      </w:r>
    </w:p>
    <w:p w14:paraId="3239EE65">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2、乙方未按合同要求提供服务或服务质量不能满足合同要求，甲方应当将供应商违约的情况以及拟采取的措施以书面形式报政府采购监管部门，根据政府采购监管部门的处理意见，甲方有权依据《民法典》有关条款及合同约定解除合同，乙方应向甲方支付合同总价款30%的违约金。同时，政府采购监管部门有权依据《政府采购法》及相关法律法规对乙方的违法行为进行相应的处罚。</w:t>
      </w:r>
    </w:p>
    <w:p w14:paraId="22B95608">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lang w:val="en-US" w:eastAsia="zh-CN"/>
        </w:rPr>
        <w:t>3</w:t>
      </w:r>
      <w:r>
        <w:rPr>
          <w:rFonts w:hint="eastAsia" w:ascii="宋体" w:hAnsi="宋体" w:eastAsia="宋体" w:cs="宋体"/>
          <w:b w:val="0"/>
          <w:bCs w:val="0"/>
          <w:sz w:val="28"/>
          <w:szCs w:val="28"/>
          <w:highlight w:val="none"/>
        </w:rPr>
        <w:t>、乙方提供的服务不符合本项目相关文件和本合同规定的，甲方有权单方解除合同，并且乙方须向甲方支付本合同总价款30%的违约金。</w:t>
      </w:r>
    </w:p>
    <w:p w14:paraId="6A963951">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4</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乙方未能按照本合同约定时间提供服务或完成约定的项目服务内容的，从逾期之日起每日按本合同总价款0.05%的数额向甲方支付违约金；逾期90日以上的，甲方有权终止合同，由此造成的甲方经济损失由乙方承担。</w:t>
      </w:r>
    </w:p>
    <w:p w14:paraId="49E939F8">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5</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主要技术指标未达标视为根本违约，甲方有权扣减50%合同价款。</w:t>
      </w:r>
    </w:p>
    <w:p w14:paraId="7C752096">
      <w:pPr>
        <w:widowControl/>
        <w:spacing w:line="360" w:lineRule="auto"/>
        <w:ind w:firstLine="560" w:firstLineChars="200"/>
        <w:jc w:val="left"/>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6</w:t>
      </w: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rPr>
        <w:t>供应商违反保密义务或侵犯他人权利造成采购人损失的，应承担全部法律责任并赔偿甲方因此遭受的全部损失。</w:t>
      </w:r>
    </w:p>
    <w:p w14:paraId="5841E1BD">
      <w:pPr>
        <w:widowControl/>
        <w:spacing w:line="360" w:lineRule="auto"/>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第九条：合同组成</w:t>
      </w:r>
    </w:p>
    <w:p w14:paraId="7BEE8C2C">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1、成交通知书</w:t>
      </w:r>
    </w:p>
    <w:p w14:paraId="73675C70">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2、合同文件</w:t>
      </w:r>
    </w:p>
    <w:p w14:paraId="485A8467">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3、国家相关规范及标准</w:t>
      </w:r>
    </w:p>
    <w:p w14:paraId="2A69F72A">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4、竞争性磋商文件</w:t>
      </w:r>
    </w:p>
    <w:p w14:paraId="48EC6D2D">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5、响应文件</w:t>
      </w:r>
    </w:p>
    <w:p w14:paraId="47E79F82">
      <w:pPr>
        <w:widowControl/>
        <w:spacing w:line="360" w:lineRule="auto"/>
        <w:ind w:firstLine="562" w:firstLineChars="200"/>
        <w:jc w:val="left"/>
        <w:rPr>
          <w:rFonts w:hint="eastAsia" w:ascii="宋体" w:hAnsi="宋体" w:eastAsia="宋体" w:cs="宋体"/>
          <w:b/>
          <w:bCs/>
          <w:sz w:val="28"/>
          <w:szCs w:val="28"/>
          <w:highlight w:val="none"/>
        </w:rPr>
      </w:pPr>
      <w:bookmarkStart w:id="1" w:name="_Toc5818"/>
      <w:r>
        <w:rPr>
          <w:rFonts w:hint="eastAsia" w:ascii="宋体" w:hAnsi="宋体" w:eastAsia="宋体" w:cs="宋体"/>
          <w:b/>
          <w:bCs/>
          <w:sz w:val="28"/>
          <w:szCs w:val="28"/>
          <w:highlight w:val="none"/>
        </w:rPr>
        <w:t>第十条、争议的解决</w:t>
      </w:r>
      <w:bookmarkEnd w:id="1"/>
    </w:p>
    <w:p w14:paraId="0EBCFBFC">
      <w:pPr>
        <w:widowControl/>
        <w:spacing w:line="360" w:lineRule="auto"/>
        <w:ind w:firstLine="560" w:firstLineChars="200"/>
        <w:jc w:val="left"/>
        <w:rPr>
          <w:rFonts w:hint="eastAsia" w:ascii="宋体" w:hAnsi="宋体" w:eastAsia="宋体" w:cs="宋体"/>
          <w:b/>
          <w:color w:val="000000"/>
          <w:sz w:val="28"/>
          <w:szCs w:val="28"/>
          <w:highlight w:val="none"/>
        </w:rPr>
      </w:pPr>
      <w:r>
        <w:rPr>
          <w:rFonts w:hint="eastAsia" w:ascii="宋体" w:hAnsi="宋体" w:eastAsia="宋体" w:cs="宋体"/>
          <w:sz w:val="28"/>
          <w:szCs w:val="28"/>
          <w:highlight w:val="none"/>
        </w:rPr>
        <w:t>本合同在履行过程中发生的争议，由甲、乙双方当事人协商解决，协商不成的向甲方所在地人民法院提起诉讼。</w:t>
      </w:r>
    </w:p>
    <w:p w14:paraId="50DC2DED">
      <w:pPr>
        <w:spacing w:line="360" w:lineRule="auto"/>
        <w:ind w:firstLine="562" w:firstLineChars="200"/>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第十一条：合同生效及其它</w:t>
      </w:r>
    </w:p>
    <w:p w14:paraId="2C5FEF72">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1、合同未尽事宜、由甲、乙双方协商，作为合同补充，与原合同具有同等法律效力。</w:t>
      </w:r>
    </w:p>
    <w:p w14:paraId="05AB8BA8">
      <w:pPr>
        <w:widowControl/>
        <w:spacing w:line="360" w:lineRule="auto"/>
        <w:ind w:firstLine="560" w:firstLineChars="200"/>
        <w:jc w:val="lef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2、本合同正本一式</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份，甲方、乙方双方分别执</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份</w:t>
      </w:r>
      <w:r>
        <w:rPr>
          <w:rFonts w:hint="eastAsia" w:ascii="宋体" w:hAnsi="宋体" w:eastAsia="宋体" w:cs="宋体"/>
          <w:sz w:val="28"/>
          <w:szCs w:val="28"/>
          <w:highlight w:val="none"/>
          <w:lang w:eastAsia="zh-CN"/>
        </w:rPr>
        <w:t>。</w:t>
      </w:r>
    </w:p>
    <w:p w14:paraId="773BC10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p>
    <w:p w14:paraId="6866DD62">
      <w:pP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br w:type="page"/>
      </w:r>
    </w:p>
    <w:p w14:paraId="05AC57E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bookmarkStart w:id="2" w:name="_GoBack"/>
      <w:bookmarkEnd w:id="2"/>
      <w:r>
        <w:rPr>
          <w:rFonts w:hint="eastAsia" w:ascii="宋体" w:hAnsi="宋体" w:eastAsia="宋体" w:cs="宋体"/>
          <w:sz w:val="24"/>
          <w:szCs w:val="24"/>
          <w:highlight w:val="none"/>
          <w:lang w:eastAsia="zh-CN"/>
        </w:rPr>
        <w:t>（以下无正文，为本合同之签署页）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60"/>
        <w:gridCol w:w="4460"/>
      </w:tblGrid>
      <w:tr w14:paraId="1768A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0A4D06B1">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甲方</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（盖章）</w:t>
            </w:r>
          </w:p>
        </w:tc>
        <w:tc>
          <w:tcPr>
            <w:tcW w:w="4460" w:type="dxa"/>
            <w:noWrap w:val="0"/>
            <w:vAlign w:val="center"/>
          </w:tcPr>
          <w:p w14:paraId="6F90E26A">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乙方：（盖章）</w:t>
            </w:r>
          </w:p>
        </w:tc>
      </w:tr>
      <w:tr w14:paraId="0CFD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568C63C6">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地址：</w:t>
            </w:r>
          </w:p>
        </w:tc>
        <w:tc>
          <w:tcPr>
            <w:tcW w:w="4460" w:type="dxa"/>
            <w:noWrap w:val="0"/>
            <w:vAlign w:val="center"/>
          </w:tcPr>
          <w:p w14:paraId="76DD2F5A">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地址：</w:t>
            </w:r>
          </w:p>
        </w:tc>
      </w:tr>
      <w:tr w14:paraId="194C8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197E22E4">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法定代表人（授权代表）：</w:t>
            </w:r>
          </w:p>
          <w:p w14:paraId="0BCB7F8F">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rPr>
              <w:t xml:space="preserve"> </w:t>
            </w:r>
          </w:p>
        </w:tc>
        <w:tc>
          <w:tcPr>
            <w:tcW w:w="4460" w:type="dxa"/>
            <w:noWrap w:val="0"/>
            <w:vAlign w:val="center"/>
          </w:tcPr>
          <w:p w14:paraId="506F9A2C">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rPr>
              <w:t>法定代表人（授权代表）：</w:t>
            </w:r>
          </w:p>
        </w:tc>
      </w:tr>
      <w:tr w14:paraId="49576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047FEFE7">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电话：</w:t>
            </w:r>
          </w:p>
        </w:tc>
        <w:tc>
          <w:tcPr>
            <w:tcW w:w="4460" w:type="dxa"/>
            <w:noWrap w:val="0"/>
            <w:vAlign w:val="center"/>
          </w:tcPr>
          <w:p w14:paraId="51553C08">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电话：</w:t>
            </w:r>
          </w:p>
        </w:tc>
      </w:tr>
      <w:tr w14:paraId="42B68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75DCC1CF">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传真：</w:t>
            </w:r>
          </w:p>
        </w:tc>
        <w:tc>
          <w:tcPr>
            <w:tcW w:w="4460" w:type="dxa"/>
            <w:noWrap w:val="0"/>
            <w:vAlign w:val="center"/>
          </w:tcPr>
          <w:p w14:paraId="57E0E3D0">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传真：</w:t>
            </w:r>
          </w:p>
        </w:tc>
      </w:tr>
      <w:tr w14:paraId="1897F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6BDAB640">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开户银行：</w:t>
            </w:r>
          </w:p>
        </w:tc>
        <w:tc>
          <w:tcPr>
            <w:tcW w:w="4460" w:type="dxa"/>
            <w:noWrap w:val="0"/>
            <w:vAlign w:val="center"/>
          </w:tcPr>
          <w:p w14:paraId="5F408F05">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开户银行：</w:t>
            </w:r>
          </w:p>
        </w:tc>
      </w:tr>
      <w:tr w14:paraId="67674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1F94239B">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账号：</w:t>
            </w:r>
          </w:p>
        </w:tc>
        <w:tc>
          <w:tcPr>
            <w:tcW w:w="4460" w:type="dxa"/>
            <w:noWrap w:val="0"/>
            <w:vAlign w:val="center"/>
          </w:tcPr>
          <w:p w14:paraId="399415DC">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账号：</w:t>
            </w:r>
          </w:p>
        </w:tc>
      </w:tr>
      <w:tr w14:paraId="2639A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4460" w:type="dxa"/>
            <w:noWrap w:val="0"/>
            <w:vAlign w:val="center"/>
          </w:tcPr>
          <w:p w14:paraId="2D1BA533">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日期：        </w:t>
            </w:r>
          </w:p>
        </w:tc>
        <w:tc>
          <w:tcPr>
            <w:tcW w:w="4460" w:type="dxa"/>
            <w:noWrap w:val="0"/>
            <w:vAlign w:val="center"/>
          </w:tcPr>
          <w:p w14:paraId="24B45AE8">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日期：        </w:t>
            </w:r>
          </w:p>
        </w:tc>
      </w:tr>
    </w:tbl>
    <w:p w14:paraId="5EBD5E1F"/>
    <w:sectPr>
      <w:pgSz w:w="11906" w:h="16838"/>
      <w:pgMar w:top="1417" w:right="1417" w:bottom="1417"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DF438F"/>
    <w:rsid w:val="14DF4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Body Text Indent"/>
    <w:basedOn w:val="1"/>
    <w:next w:val="4"/>
    <w:uiPriority w:val="0"/>
    <w:pPr>
      <w:ind w:firstLine="480"/>
    </w:pPr>
    <w:rPr>
      <w:rFonts w:ascii="宋体" w:hAnsi="宋体"/>
    </w:rPr>
  </w:style>
  <w:style w:type="paragraph" w:styleId="4">
    <w:name w:val="envelope return"/>
    <w:basedOn w:val="1"/>
    <w:qFormat/>
    <w:uiPriority w:val="0"/>
    <w:pPr>
      <w:snapToGrid w:val="0"/>
    </w:pPr>
    <w:rPr>
      <w:rFonts w:ascii="Arial" w:hAnsi="Arial"/>
    </w:rPr>
  </w:style>
  <w:style w:type="paragraph" w:styleId="5">
    <w:name w:val="Body Text First Indent 2"/>
    <w:basedOn w:val="3"/>
    <w:next w:val="1"/>
    <w:qFormat/>
    <w:uiPriority w:val="0"/>
    <w:pPr>
      <w:spacing w:after="120" w:line="240" w:lineRule="auto"/>
      <w:ind w:left="420" w:leftChars="200" w:firstLine="420" w:firstLineChars="200"/>
    </w:pPr>
    <w:rPr>
      <w:rFonts w:ascii="Times New Roman"/>
      <w:sz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2025-11-21T06:54:00Z</dcterms:created>
  <dc:creator>我在
丶等风</dc:creator>
  <cp:lastModifiedBy>我在
丶等风</cp:lastModifiedBy>
  <dcterms:modified xsi:type="dcterms:W3CDTF">2025-11-21T06:56:16Z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4C9F569C02814ACF9E74BFE4BFACCC36_11</vt:lpwstr>
  </property>
  <property fmtid="{D5CDD505-2E9C-101B-9397-08002B2CF9AE}" pid="4" name="KSOTemplateDocerSaveRecord">
    <vt:lpwstr>eyJoZGlkIjoiZDU5ZmUxYTc5ZjVhNjc2ZjlmNjIwZDE5NzZjZGZkMmMiLCJ1c2VySWQiOiIzMjExNjMxODcifQ==</vt:lpwstr>
  </property>
</Properties>
</file>